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562EAD" w:rsidRDefault="00562EAD" w:rsidP="00761496">
      <w:pPr>
        <w:spacing w:line="276" w:lineRule="auto"/>
        <w:jc w:val="center"/>
        <w:rPr>
          <w:rFonts w:ascii="Calibri" w:hAnsi="Calibri" w:cs="Calibri"/>
          <w:b/>
          <w:i/>
          <w:sz w:val="22"/>
          <w:szCs w:val="22"/>
        </w:rPr>
      </w:pPr>
    </w:p>
    <w:p w:rsidR="003223BA" w:rsidRDefault="004D62B8" w:rsidP="00761496">
      <w:pPr>
        <w:spacing w:line="360" w:lineRule="auto"/>
        <w:jc w:val="center"/>
        <w:rPr>
          <w:rFonts w:cstheme="minorHAnsi"/>
          <w:b/>
          <w:sz w:val="36"/>
          <w:szCs w:val="36"/>
          <w:lang w:val="en-US"/>
        </w:rPr>
      </w:pPr>
      <w:r>
        <w:rPr>
          <w:rFonts w:cstheme="minorHAnsi"/>
          <w:b/>
          <w:sz w:val="36"/>
          <w:szCs w:val="36"/>
          <w:lang w:val="en-US"/>
        </w:rPr>
        <w:t>5W-30</w:t>
      </w:r>
      <w:r w:rsidR="003223BA" w:rsidRPr="00761496">
        <w:rPr>
          <w:rFonts w:cstheme="minorHAnsi"/>
          <w:b/>
          <w:sz w:val="36"/>
          <w:szCs w:val="36"/>
          <w:lang w:val="en-US"/>
        </w:rPr>
        <w:t xml:space="preserve"> </w:t>
      </w:r>
      <w:r w:rsidR="00915939" w:rsidRPr="00761496">
        <w:rPr>
          <w:rFonts w:cstheme="minorHAnsi"/>
          <w:b/>
          <w:sz w:val="36"/>
          <w:szCs w:val="36"/>
          <w:lang w:val="en-US"/>
        </w:rPr>
        <w:t>CI-4/SL</w:t>
      </w:r>
    </w:p>
    <w:p w:rsidR="004D62B8" w:rsidRDefault="004D62B8" w:rsidP="00761496">
      <w:pPr>
        <w:spacing w:line="360" w:lineRule="auto"/>
        <w:jc w:val="center"/>
        <w:rPr>
          <w:rFonts w:cstheme="minorHAnsi"/>
          <w:b/>
          <w:sz w:val="36"/>
          <w:szCs w:val="36"/>
          <w:lang w:val="en-US"/>
        </w:rPr>
      </w:pPr>
    </w:p>
    <w:p w:rsidR="004D62B8" w:rsidRPr="004D62B8" w:rsidRDefault="004D62B8" w:rsidP="004D62B8">
      <w:pPr>
        <w:spacing w:line="360" w:lineRule="auto"/>
        <w:jc w:val="both"/>
        <w:rPr>
          <w:rFonts w:ascii="Calibri" w:hAnsi="Calibri" w:cs="Calibri"/>
          <w:sz w:val="22"/>
          <w:szCs w:val="22"/>
        </w:rPr>
      </w:pPr>
      <w:r w:rsidRPr="004D62B8">
        <w:rPr>
          <w:rFonts w:ascii="Calibri" w:hAnsi="Calibri" w:cs="Calibri"/>
          <w:sz w:val="22"/>
          <w:szCs w:val="22"/>
        </w:rPr>
        <w:t>5W/30, is a synthetic engine oil developed with superior additive formulation for passenger cars and light diesel vehicles. It meets all the requirements of diesel engines produced with modern technology. It shows unmatched performance in all four seasons. With its high viscosity index, it provides a unique protection for the engine in all climate and road conditions.</w:t>
      </w:r>
    </w:p>
    <w:p w:rsidR="00D349C3" w:rsidRDefault="00D349C3" w:rsidP="00D349C3">
      <w:pPr>
        <w:spacing w:line="276" w:lineRule="auto"/>
        <w:jc w:val="both"/>
        <w:rPr>
          <w:rFonts w:ascii="Calibri" w:hAnsi="Calibri" w:cs="Calibri"/>
          <w:b/>
          <w:i/>
          <w:sz w:val="22"/>
          <w:szCs w:val="22"/>
        </w:rPr>
      </w:pPr>
    </w:p>
    <w:p w:rsidR="00A93A65" w:rsidRPr="00A93A65" w:rsidRDefault="00A93A65" w:rsidP="00A93A65">
      <w:pPr>
        <w:spacing w:line="360" w:lineRule="auto"/>
        <w:jc w:val="both"/>
        <w:rPr>
          <w:rFonts w:ascii="Calibri" w:hAnsi="Calibri" w:cs="Calibri"/>
          <w:b/>
          <w:sz w:val="22"/>
          <w:szCs w:val="22"/>
        </w:rPr>
      </w:pPr>
      <w:r w:rsidRPr="00A93A65">
        <w:rPr>
          <w:rFonts w:ascii="Calibri" w:hAnsi="Calibri" w:cs="Calibri"/>
          <w:b/>
          <w:sz w:val="22"/>
          <w:szCs w:val="22"/>
        </w:rPr>
        <w:t xml:space="preserve">Certificates And Standards: </w:t>
      </w:r>
    </w:p>
    <w:p w:rsidR="00A93A65" w:rsidRPr="00A93A65" w:rsidRDefault="00A93A65" w:rsidP="00A93A65">
      <w:pPr>
        <w:spacing w:line="360" w:lineRule="auto"/>
        <w:jc w:val="both"/>
        <w:rPr>
          <w:rFonts w:ascii="Calibri" w:hAnsi="Calibri" w:cs="Calibri"/>
          <w:sz w:val="22"/>
          <w:szCs w:val="22"/>
        </w:rPr>
      </w:pPr>
      <w:r w:rsidRPr="00A93A65">
        <w:rPr>
          <w:rFonts w:ascii="Calibri" w:hAnsi="Calibri" w:cs="Calibri"/>
          <w:sz w:val="22"/>
          <w:szCs w:val="22"/>
        </w:rPr>
        <w:t xml:space="preserve">API </w:t>
      </w:r>
      <w:r w:rsidRPr="00A93A65">
        <w:rPr>
          <w:rFonts w:ascii="Calibri" w:hAnsi="Calibri" w:cs="Calibri"/>
          <w:sz w:val="22"/>
          <w:szCs w:val="22"/>
        </w:rPr>
        <w:t>CI-4/SL,</w:t>
      </w:r>
    </w:p>
    <w:p w:rsidR="00A93A65" w:rsidRPr="00A93A65" w:rsidRDefault="00A93A65" w:rsidP="00A93A65">
      <w:pPr>
        <w:spacing w:line="360" w:lineRule="auto"/>
        <w:jc w:val="both"/>
        <w:rPr>
          <w:rFonts w:ascii="Calibri" w:hAnsi="Calibri" w:cs="Calibri"/>
          <w:sz w:val="22"/>
          <w:szCs w:val="22"/>
        </w:rPr>
      </w:pPr>
      <w:r w:rsidRPr="00A93A65">
        <w:rPr>
          <w:rFonts w:ascii="Calibri" w:hAnsi="Calibri" w:cs="Calibri"/>
          <w:sz w:val="22"/>
          <w:szCs w:val="22"/>
        </w:rPr>
        <w:t>Renault RVI RXD,</w:t>
      </w:r>
    </w:p>
    <w:p w:rsidR="00A93A65" w:rsidRPr="00A93A65" w:rsidRDefault="00A93A65" w:rsidP="00A93A65">
      <w:pPr>
        <w:spacing w:line="360" w:lineRule="auto"/>
        <w:jc w:val="both"/>
        <w:rPr>
          <w:rFonts w:ascii="Calibri" w:hAnsi="Calibri" w:cs="Calibri"/>
          <w:sz w:val="22"/>
          <w:szCs w:val="22"/>
        </w:rPr>
      </w:pPr>
      <w:r w:rsidRPr="00A93A65">
        <w:rPr>
          <w:rFonts w:ascii="Calibri" w:hAnsi="Calibri" w:cs="Calibri"/>
          <w:sz w:val="22"/>
          <w:szCs w:val="22"/>
        </w:rPr>
        <w:t>Volvo VDS-2/VDS-3,</w:t>
      </w:r>
    </w:p>
    <w:p w:rsidR="00A93A65" w:rsidRPr="00A93A65" w:rsidRDefault="00A93A65" w:rsidP="00A93A65">
      <w:pPr>
        <w:spacing w:line="360" w:lineRule="auto"/>
        <w:jc w:val="both"/>
        <w:rPr>
          <w:rFonts w:ascii="Calibri" w:hAnsi="Calibri" w:cs="Calibri"/>
          <w:sz w:val="22"/>
          <w:szCs w:val="22"/>
        </w:rPr>
      </w:pPr>
      <w:r w:rsidRPr="00A93A65">
        <w:rPr>
          <w:rFonts w:ascii="Calibri" w:hAnsi="Calibri" w:cs="Calibri"/>
          <w:sz w:val="22"/>
          <w:szCs w:val="22"/>
        </w:rPr>
        <w:t xml:space="preserve">MB </w:t>
      </w:r>
      <w:proofErr w:type="gramStart"/>
      <w:r w:rsidRPr="00A93A65">
        <w:rPr>
          <w:rFonts w:ascii="Calibri" w:hAnsi="Calibri" w:cs="Calibri"/>
          <w:sz w:val="22"/>
          <w:szCs w:val="22"/>
        </w:rPr>
        <w:t>228.5</w:t>
      </w:r>
      <w:proofErr w:type="gramEnd"/>
    </w:p>
    <w:p w:rsidR="00764F44" w:rsidRDefault="00764F44" w:rsidP="00764F44">
      <w:pPr>
        <w:rPr>
          <w:rFonts w:ascii="Arial" w:hAnsi="Arial" w:cs="Arial"/>
          <w:b/>
          <w:i/>
        </w:rPr>
      </w:pPr>
    </w:p>
    <w:p w:rsidR="00D349C3" w:rsidRPr="008D3B93" w:rsidRDefault="00D349C3" w:rsidP="00D349C3">
      <w:pPr>
        <w:spacing w:line="360" w:lineRule="auto"/>
        <w:jc w:val="both"/>
        <w:rPr>
          <w:rFonts w:ascii="Calibri" w:hAnsi="Calibri" w:cs="Calibri"/>
          <w:b/>
          <w:i/>
          <w:szCs w:val="22"/>
          <w:lang w:val="en-US"/>
        </w:rPr>
      </w:pPr>
      <w:r w:rsidRPr="008D3B93">
        <w:rPr>
          <w:rFonts w:ascii="Calibri" w:hAnsi="Calibri" w:cs="Calibri"/>
          <w:b/>
          <w:i/>
          <w:szCs w:val="22"/>
          <w:lang w:val="en-US"/>
        </w:rPr>
        <w:t>Technical Specifications</w:t>
      </w:r>
    </w:p>
    <w:tbl>
      <w:tblPr>
        <w:tblW w:w="9870" w:type="dxa"/>
        <w:tblBorders>
          <w:top w:val="single" w:sz="8" w:space="0" w:color="ED7D31" w:themeColor="accent2"/>
          <w:bottom w:val="single" w:sz="8" w:space="0" w:color="ED7D31" w:themeColor="accent2"/>
          <w:insideH w:val="single" w:sz="8" w:space="0" w:color="ED7D31" w:themeColor="accent2"/>
        </w:tblBorders>
        <w:tblLayout w:type="fixed"/>
        <w:tblLook w:val="04A0" w:firstRow="1" w:lastRow="0" w:firstColumn="1" w:lastColumn="0" w:noHBand="0" w:noVBand="1"/>
      </w:tblPr>
      <w:tblGrid>
        <w:gridCol w:w="4104"/>
        <w:gridCol w:w="2808"/>
        <w:gridCol w:w="2958"/>
      </w:tblGrid>
      <w:tr w:rsidR="00D349C3" w:rsidRPr="00F46CCC" w:rsidTr="004D62B8">
        <w:trPr>
          <w:trHeight w:val="655"/>
        </w:trPr>
        <w:tc>
          <w:tcPr>
            <w:tcW w:w="4104" w:type="dxa"/>
            <w:vAlign w:val="center"/>
          </w:tcPr>
          <w:p w:rsidR="00D349C3" w:rsidRPr="008D3B93" w:rsidRDefault="00D349C3" w:rsidP="00D349C3">
            <w:pPr>
              <w:spacing w:before="100" w:beforeAutospacing="1" w:after="100" w:afterAutospacing="1" w:line="360" w:lineRule="auto"/>
              <w:ind w:left="-468" w:firstLine="468"/>
              <w:jc w:val="center"/>
              <w:textAlignment w:val="baseline"/>
              <w:rPr>
                <w:rFonts w:ascii="Calibri" w:eastAsia="Calibri" w:hAnsi="Calibri" w:cs="Calibri"/>
                <w:b/>
                <w:bCs/>
                <w:szCs w:val="22"/>
                <w:lang w:val="en-US"/>
              </w:rPr>
            </w:pPr>
            <w:r w:rsidRPr="008D3B93">
              <w:rPr>
                <w:rFonts w:ascii="Calibri" w:eastAsia="Calibri" w:hAnsi="Calibri" w:cs="Calibri"/>
                <w:b/>
                <w:bCs/>
                <w:szCs w:val="22"/>
                <w:lang w:val="en-US"/>
              </w:rPr>
              <w:t>Test</w:t>
            </w:r>
          </w:p>
        </w:tc>
        <w:tc>
          <w:tcPr>
            <w:tcW w:w="2808" w:type="dxa"/>
            <w:vAlign w:val="center"/>
          </w:tcPr>
          <w:p w:rsidR="00D349C3" w:rsidRPr="008D3B93" w:rsidRDefault="00D349C3" w:rsidP="00A93A65">
            <w:pPr>
              <w:spacing w:before="100" w:beforeAutospacing="1" w:after="100" w:afterAutospacing="1" w:line="360" w:lineRule="auto"/>
              <w:textAlignment w:val="baseline"/>
              <w:rPr>
                <w:rFonts w:ascii="Calibri" w:eastAsia="Calibri" w:hAnsi="Calibri" w:cs="Calibri"/>
                <w:b/>
                <w:bCs/>
                <w:szCs w:val="22"/>
                <w:lang w:val="en-US"/>
              </w:rPr>
            </w:pPr>
            <w:r w:rsidRPr="008D3B93">
              <w:rPr>
                <w:rFonts w:ascii="Calibri" w:hAnsi="Calibri" w:cs="Calibri"/>
                <w:b/>
                <w:bCs/>
                <w:szCs w:val="22"/>
                <w:lang w:val="en-US"/>
              </w:rPr>
              <w:t>Method</w:t>
            </w:r>
          </w:p>
        </w:tc>
        <w:tc>
          <w:tcPr>
            <w:tcW w:w="2958" w:type="dxa"/>
            <w:vAlign w:val="center"/>
          </w:tcPr>
          <w:p w:rsidR="00D349C3" w:rsidRPr="008D3B93" w:rsidRDefault="00D349C3" w:rsidP="00A93A65">
            <w:pPr>
              <w:spacing w:before="100" w:beforeAutospacing="1" w:after="100" w:afterAutospacing="1" w:line="360" w:lineRule="auto"/>
              <w:textAlignment w:val="baseline"/>
              <w:rPr>
                <w:rFonts w:ascii="Calibri" w:eastAsia="Calibri" w:hAnsi="Calibri" w:cs="Calibri"/>
                <w:b/>
                <w:bCs/>
                <w:szCs w:val="22"/>
                <w:lang w:val="en-US"/>
              </w:rPr>
            </w:pPr>
            <w:bookmarkStart w:id="0" w:name="_GoBack"/>
            <w:bookmarkEnd w:id="0"/>
            <w:r w:rsidRPr="008D3B93">
              <w:rPr>
                <w:rFonts w:ascii="Calibri" w:eastAsia="Calibri" w:hAnsi="Calibri" w:cs="Calibri"/>
                <w:b/>
                <w:bCs/>
                <w:szCs w:val="22"/>
                <w:lang w:val="en-US"/>
              </w:rPr>
              <w:t>Typical Properties</w:t>
            </w:r>
          </w:p>
        </w:tc>
      </w:tr>
      <w:tr w:rsidR="00D349C3" w:rsidRPr="00F46CCC" w:rsidTr="004D62B8">
        <w:trPr>
          <w:trHeight w:val="787"/>
        </w:trPr>
        <w:tc>
          <w:tcPr>
            <w:tcW w:w="4104" w:type="dxa"/>
            <w:shd w:val="clear" w:color="auto" w:fill="F4B083" w:themeFill="accent2" w:themeFillTint="99"/>
            <w:vAlign w:val="center"/>
          </w:tcPr>
          <w:p w:rsidR="00D349C3" w:rsidRPr="00D349C3" w:rsidRDefault="00D349C3" w:rsidP="00D349C3">
            <w:pPr>
              <w:spacing w:before="100" w:beforeAutospacing="1" w:after="100" w:afterAutospacing="1" w:line="360" w:lineRule="auto"/>
              <w:jc w:val="center"/>
              <w:textAlignment w:val="baseline"/>
              <w:rPr>
                <w:rFonts w:ascii="Arial" w:eastAsia="Calibri" w:hAnsi="Arial" w:cs="Arial"/>
                <w:b/>
                <w:bCs/>
                <w:szCs w:val="22"/>
                <w:lang w:val="en-US"/>
              </w:rPr>
            </w:pPr>
            <w:r w:rsidRPr="00D349C3">
              <w:rPr>
                <w:rFonts w:ascii="Arial" w:eastAsia="Calibri" w:hAnsi="Arial" w:cs="Arial"/>
                <w:b/>
                <w:bCs/>
                <w:szCs w:val="22"/>
                <w:lang w:val="en-US"/>
              </w:rPr>
              <w:t>Kinematic Viscosity (100°C), [cSt]</w:t>
            </w:r>
          </w:p>
        </w:tc>
        <w:tc>
          <w:tcPr>
            <w:tcW w:w="2808" w:type="dxa"/>
            <w:shd w:val="clear" w:color="auto" w:fill="F4B083" w:themeFill="accent2" w:themeFillTint="99"/>
          </w:tcPr>
          <w:p w:rsidR="00D349C3" w:rsidRPr="00F46CCC" w:rsidRDefault="00D349C3" w:rsidP="00D349C3">
            <w:pPr>
              <w:rPr>
                <w:rFonts w:ascii="Arial" w:hAnsi="Arial" w:cs="Arial"/>
                <w:lang w:val="en-US"/>
              </w:rPr>
            </w:pPr>
            <w:r w:rsidRPr="00F46CCC">
              <w:rPr>
                <w:rFonts w:ascii="Arial" w:hAnsi="Arial" w:cs="Arial"/>
                <w:lang w:val="en-US"/>
              </w:rPr>
              <w:t>ASTM D445</w:t>
            </w:r>
          </w:p>
        </w:tc>
        <w:tc>
          <w:tcPr>
            <w:tcW w:w="2958" w:type="dxa"/>
            <w:shd w:val="clear" w:color="auto" w:fill="F4B083" w:themeFill="accent2" w:themeFillTint="99"/>
          </w:tcPr>
          <w:p w:rsidR="00D349C3" w:rsidRPr="00F46CCC" w:rsidRDefault="004D62B8" w:rsidP="00D349C3">
            <w:pPr>
              <w:rPr>
                <w:rFonts w:ascii="Arial" w:hAnsi="Arial" w:cs="Arial"/>
                <w:lang w:val="en-US"/>
              </w:rPr>
            </w:pPr>
            <w:r>
              <w:rPr>
                <w:rFonts w:ascii="Arial" w:hAnsi="Arial" w:cs="Arial"/>
                <w:lang w:val="en-US"/>
              </w:rPr>
              <w:t>9,3-12,5</w:t>
            </w:r>
          </w:p>
        </w:tc>
      </w:tr>
      <w:tr w:rsidR="00D349C3" w:rsidRPr="00F46CCC" w:rsidTr="004D62B8">
        <w:trPr>
          <w:trHeight w:val="461"/>
        </w:trPr>
        <w:tc>
          <w:tcPr>
            <w:tcW w:w="4104" w:type="dxa"/>
            <w:shd w:val="clear" w:color="auto" w:fill="auto"/>
            <w:vAlign w:val="center"/>
          </w:tcPr>
          <w:p w:rsidR="00D349C3" w:rsidRPr="00D349C3" w:rsidRDefault="00D349C3" w:rsidP="00D349C3">
            <w:pPr>
              <w:spacing w:before="100" w:beforeAutospacing="1" w:after="100" w:afterAutospacing="1" w:line="360" w:lineRule="auto"/>
              <w:jc w:val="center"/>
              <w:textAlignment w:val="baseline"/>
              <w:rPr>
                <w:rFonts w:ascii="Arial" w:eastAsia="Calibri" w:hAnsi="Arial" w:cs="Arial"/>
                <w:b/>
                <w:bCs/>
                <w:szCs w:val="22"/>
                <w:lang w:val="en-US"/>
              </w:rPr>
            </w:pPr>
            <w:r w:rsidRPr="00D349C3">
              <w:rPr>
                <w:rFonts w:ascii="Arial" w:eastAsia="Calibri" w:hAnsi="Arial" w:cs="Arial"/>
                <w:b/>
                <w:bCs/>
                <w:szCs w:val="22"/>
                <w:lang w:val="en-US"/>
              </w:rPr>
              <w:t>Viscosity Index</w:t>
            </w:r>
          </w:p>
        </w:tc>
        <w:tc>
          <w:tcPr>
            <w:tcW w:w="2808" w:type="dxa"/>
            <w:shd w:val="clear" w:color="auto" w:fill="auto"/>
          </w:tcPr>
          <w:p w:rsidR="00D349C3" w:rsidRPr="00F46CCC" w:rsidRDefault="00D349C3" w:rsidP="00D349C3">
            <w:pPr>
              <w:rPr>
                <w:rFonts w:ascii="Arial" w:hAnsi="Arial" w:cs="Arial"/>
                <w:lang w:val="en-US"/>
              </w:rPr>
            </w:pPr>
            <w:r w:rsidRPr="00F46CCC">
              <w:rPr>
                <w:rFonts w:ascii="Arial" w:hAnsi="Arial" w:cs="Arial"/>
                <w:lang w:val="en-US"/>
              </w:rPr>
              <w:t>ASTM D2270</w:t>
            </w:r>
          </w:p>
        </w:tc>
        <w:tc>
          <w:tcPr>
            <w:tcW w:w="2958" w:type="dxa"/>
            <w:shd w:val="clear" w:color="auto" w:fill="auto"/>
          </w:tcPr>
          <w:p w:rsidR="00D349C3" w:rsidRPr="00F46CCC" w:rsidRDefault="00D349C3" w:rsidP="004D62B8">
            <w:pPr>
              <w:rPr>
                <w:rFonts w:ascii="Arial" w:hAnsi="Arial" w:cs="Arial"/>
                <w:lang w:val="en-US"/>
              </w:rPr>
            </w:pPr>
            <w:r>
              <w:rPr>
                <w:rFonts w:ascii="Arial" w:hAnsi="Arial" w:cs="Arial"/>
                <w:lang w:val="en-US"/>
              </w:rPr>
              <w:t>Min. 1</w:t>
            </w:r>
            <w:r w:rsidR="004D62B8">
              <w:rPr>
                <w:rFonts w:ascii="Arial" w:hAnsi="Arial" w:cs="Arial"/>
                <w:lang w:val="en-US"/>
              </w:rPr>
              <w:t>30</w:t>
            </w:r>
          </w:p>
        </w:tc>
      </w:tr>
      <w:tr w:rsidR="00D349C3" w:rsidRPr="00F46CCC" w:rsidTr="004D62B8">
        <w:trPr>
          <w:trHeight w:val="461"/>
        </w:trPr>
        <w:tc>
          <w:tcPr>
            <w:tcW w:w="4104" w:type="dxa"/>
            <w:shd w:val="clear" w:color="auto" w:fill="F4B083" w:themeFill="accent2" w:themeFillTint="99"/>
            <w:vAlign w:val="center"/>
          </w:tcPr>
          <w:p w:rsidR="00D349C3" w:rsidRPr="00D349C3" w:rsidRDefault="00D349C3" w:rsidP="00D349C3">
            <w:pPr>
              <w:spacing w:before="100" w:beforeAutospacing="1" w:after="100" w:afterAutospacing="1" w:line="360" w:lineRule="auto"/>
              <w:jc w:val="center"/>
              <w:textAlignment w:val="baseline"/>
              <w:rPr>
                <w:rFonts w:ascii="Arial" w:eastAsia="Calibri" w:hAnsi="Arial" w:cs="Arial"/>
                <w:b/>
                <w:bCs/>
                <w:szCs w:val="22"/>
                <w:lang w:val="en-US"/>
              </w:rPr>
            </w:pPr>
            <w:r w:rsidRPr="00D349C3">
              <w:rPr>
                <w:rFonts w:ascii="Arial" w:eastAsia="Calibri" w:hAnsi="Arial" w:cs="Arial"/>
                <w:b/>
                <w:bCs/>
                <w:szCs w:val="22"/>
                <w:lang w:val="en-US"/>
              </w:rPr>
              <w:t>Flash Point, °C</w:t>
            </w:r>
          </w:p>
        </w:tc>
        <w:tc>
          <w:tcPr>
            <w:tcW w:w="2808" w:type="dxa"/>
            <w:shd w:val="clear" w:color="auto" w:fill="F4B083" w:themeFill="accent2" w:themeFillTint="99"/>
          </w:tcPr>
          <w:p w:rsidR="00D349C3" w:rsidRPr="00F46CCC" w:rsidRDefault="00D349C3" w:rsidP="00D349C3">
            <w:pPr>
              <w:rPr>
                <w:rFonts w:ascii="Arial" w:hAnsi="Arial" w:cs="Arial"/>
                <w:lang w:val="en-US"/>
              </w:rPr>
            </w:pPr>
            <w:r w:rsidRPr="00F46CCC">
              <w:rPr>
                <w:rFonts w:ascii="Arial" w:hAnsi="Arial" w:cs="Arial"/>
                <w:lang w:val="en-US"/>
              </w:rPr>
              <w:t>ASTM D92</w:t>
            </w:r>
          </w:p>
        </w:tc>
        <w:tc>
          <w:tcPr>
            <w:tcW w:w="2958" w:type="dxa"/>
            <w:shd w:val="clear" w:color="auto" w:fill="F4B083" w:themeFill="accent2" w:themeFillTint="99"/>
          </w:tcPr>
          <w:p w:rsidR="00D349C3" w:rsidRPr="00F46CCC" w:rsidRDefault="00D349C3" w:rsidP="00D349C3">
            <w:pPr>
              <w:rPr>
                <w:rFonts w:ascii="Arial" w:hAnsi="Arial" w:cs="Arial"/>
                <w:lang w:val="en-US"/>
              </w:rPr>
            </w:pPr>
            <w:r>
              <w:rPr>
                <w:rFonts w:ascii="Arial" w:hAnsi="Arial" w:cs="Arial"/>
                <w:lang w:val="en-US"/>
              </w:rPr>
              <w:t>Min. 220</w:t>
            </w:r>
          </w:p>
        </w:tc>
      </w:tr>
      <w:tr w:rsidR="00D349C3" w:rsidRPr="00F46CCC" w:rsidTr="004D62B8">
        <w:trPr>
          <w:trHeight w:val="461"/>
        </w:trPr>
        <w:tc>
          <w:tcPr>
            <w:tcW w:w="4104" w:type="dxa"/>
            <w:shd w:val="clear" w:color="auto" w:fill="auto"/>
            <w:vAlign w:val="center"/>
          </w:tcPr>
          <w:p w:rsidR="00D349C3" w:rsidRPr="00D349C3" w:rsidRDefault="00D349C3" w:rsidP="00D349C3">
            <w:pPr>
              <w:spacing w:before="100" w:beforeAutospacing="1" w:after="100" w:afterAutospacing="1" w:line="360" w:lineRule="auto"/>
              <w:jc w:val="center"/>
              <w:textAlignment w:val="baseline"/>
              <w:rPr>
                <w:rFonts w:ascii="Arial" w:eastAsia="Calibri" w:hAnsi="Arial" w:cs="Arial"/>
                <w:b/>
                <w:bCs/>
                <w:szCs w:val="22"/>
                <w:lang w:val="en-US"/>
              </w:rPr>
            </w:pPr>
            <w:r w:rsidRPr="00D349C3">
              <w:rPr>
                <w:rFonts w:ascii="Arial" w:eastAsia="Calibri" w:hAnsi="Arial" w:cs="Arial"/>
                <w:b/>
                <w:bCs/>
                <w:szCs w:val="22"/>
                <w:lang w:val="en-US"/>
              </w:rPr>
              <w:t>Pour Point, °C</w:t>
            </w:r>
          </w:p>
        </w:tc>
        <w:tc>
          <w:tcPr>
            <w:tcW w:w="2808" w:type="dxa"/>
            <w:shd w:val="clear" w:color="auto" w:fill="auto"/>
          </w:tcPr>
          <w:p w:rsidR="00D349C3" w:rsidRPr="00F46CCC" w:rsidRDefault="00D349C3" w:rsidP="00D349C3">
            <w:pPr>
              <w:rPr>
                <w:rFonts w:ascii="Arial" w:hAnsi="Arial" w:cs="Arial"/>
                <w:lang w:val="en-US"/>
              </w:rPr>
            </w:pPr>
            <w:r w:rsidRPr="00F46CCC">
              <w:rPr>
                <w:rFonts w:ascii="Arial" w:hAnsi="Arial" w:cs="Arial"/>
                <w:lang w:val="en-US"/>
              </w:rPr>
              <w:t>ASTM D97</w:t>
            </w:r>
          </w:p>
        </w:tc>
        <w:tc>
          <w:tcPr>
            <w:tcW w:w="2958" w:type="dxa"/>
            <w:shd w:val="clear" w:color="auto" w:fill="auto"/>
          </w:tcPr>
          <w:p w:rsidR="00D349C3" w:rsidRPr="00F46CCC" w:rsidRDefault="00D349C3" w:rsidP="004D62B8">
            <w:pPr>
              <w:rPr>
                <w:rFonts w:ascii="Arial" w:hAnsi="Arial" w:cs="Arial"/>
                <w:lang w:val="en-US"/>
              </w:rPr>
            </w:pPr>
            <w:r w:rsidRPr="00F46CCC">
              <w:rPr>
                <w:rFonts w:ascii="Arial" w:hAnsi="Arial" w:cs="Arial"/>
                <w:lang w:val="en-US"/>
              </w:rPr>
              <w:t>Max. -</w:t>
            </w:r>
            <w:r w:rsidR="004D62B8">
              <w:rPr>
                <w:rFonts w:ascii="Arial" w:hAnsi="Arial" w:cs="Arial"/>
                <w:lang w:val="en-US"/>
              </w:rPr>
              <w:t>35</w:t>
            </w:r>
          </w:p>
        </w:tc>
      </w:tr>
    </w:tbl>
    <w:p w:rsidR="00562EAD" w:rsidRPr="00F67BC5" w:rsidRDefault="00562EAD" w:rsidP="00F67BC5">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D06" w:rsidRDefault="00982D06" w:rsidP="00562EAD">
      <w:r>
        <w:separator/>
      </w:r>
    </w:p>
  </w:endnote>
  <w:endnote w:type="continuationSeparator" w:id="0">
    <w:p w:rsidR="00982D06" w:rsidRDefault="00982D06"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982D06"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D06" w:rsidRDefault="00982D06" w:rsidP="00562EAD">
      <w:r>
        <w:separator/>
      </w:r>
    </w:p>
  </w:footnote>
  <w:footnote w:type="continuationSeparator" w:id="0">
    <w:p w:rsidR="00982D06" w:rsidRDefault="00982D06"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61496">
      <w:rPr>
        <w:rFonts w:ascii="Arial" w:hAnsi="Arial" w:cs="Arial"/>
        <w:b/>
      </w:rPr>
      <w:t xml:space="preserve">              </w:t>
    </w:r>
    <w:r w:rsidR="00725DD1">
      <w:rPr>
        <w:rFonts w:ascii="Arial" w:hAnsi="Arial" w:cs="Arial"/>
        <w:b/>
      </w:rPr>
      <w:t xml:space="preserve">  </w:t>
    </w:r>
    <w:r w:rsidR="00761496" w:rsidRPr="00761496">
      <w:rPr>
        <w:rFonts w:cstheme="minorHAnsi"/>
        <w:b/>
        <w:sz w:val="40"/>
        <w:szCs w:val="40"/>
      </w:rPr>
      <w:t>PRODUCT DATA SHEET</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36C0"/>
    <w:multiLevelType w:val="hybridMultilevel"/>
    <w:tmpl w:val="26EEF2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CE959EE"/>
    <w:multiLevelType w:val="hybridMultilevel"/>
    <w:tmpl w:val="A8787F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C234D"/>
    <w:rsid w:val="000E062C"/>
    <w:rsid w:val="001E6504"/>
    <w:rsid w:val="003223BA"/>
    <w:rsid w:val="0035395C"/>
    <w:rsid w:val="00411092"/>
    <w:rsid w:val="004D62B8"/>
    <w:rsid w:val="00545FA5"/>
    <w:rsid w:val="00562EAD"/>
    <w:rsid w:val="005A61E7"/>
    <w:rsid w:val="005E3B99"/>
    <w:rsid w:val="006A4C15"/>
    <w:rsid w:val="00703054"/>
    <w:rsid w:val="00723A59"/>
    <w:rsid w:val="00725DD1"/>
    <w:rsid w:val="0075578A"/>
    <w:rsid w:val="00761496"/>
    <w:rsid w:val="00764F44"/>
    <w:rsid w:val="00776D4A"/>
    <w:rsid w:val="0081532D"/>
    <w:rsid w:val="00915939"/>
    <w:rsid w:val="00982D06"/>
    <w:rsid w:val="009D710A"/>
    <w:rsid w:val="00A210D1"/>
    <w:rsid w:val="00A61F2B"/>
    <w:rsid w:val="00A93A65"/>
    <w:rsid w:val="00AA3EDB"/>
    <w:rsid w:val="00BE6A2B"/>
    <w:rsid w:val="00C27BC8"/>
    <w:rsid w:val="00D349C3"/>
    <w:rsid w:val="00DF637E"/>
    <w:rsid w:val="00E5396A"/>
    <w:rsid w:val="00EE5555"/>
    <w:rsid w:val="00F67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GvdeMetni">
    <w:name w:val="Body Text"/>
    <w:basedOn w:val="Normal"/>
    <w:link w:val="GvdeMetniChar"/>
    <w:uiPriority w:val="1"/>
    <w:qFormat/>
    <w:rsid w:val="004D62B8"/>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4D62B8"/>
    <w:rPr>
      <w:rFonts w:ascii="Trebuchet MS" w:eastAsia="Trebuchet MS" w:hAnsi="Trebuchet MS" w:cs="Trebuchet M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103</Words>
  <Characters>593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22</cp:revision>
  <dcterms:created xsi:type="dcterms:W3CDTF">2021-11-25T06:20:00Z</dcterms:created>
  <dcterms:modified xsi:type="dcterms:W3CDTF">2021-12-30T06:32:00Z</dcterms:modified>
</cp:coreProperties>
</file>